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2A4A"/>
          <w:sz w:val="40"/>
        </w:rPr>
        <w:t>Nila Indah Febriyanti</w:t>
      </w:r>
    </w:p>
    <w:p>
      <w:pPr>
        <w:jc w:val="center"/>
      </w:pPr>
      <w:r>
        <w:rPr>
          <w:color w:val="555555"/>
          <w:sz w:val="22"/>
        </w:rPr>
        <w:t>Learning Design &amp; Research Analyst</w:t>
      </w:r>
    </w:p>
    <w:p>
      <w:pPr>
        <w:jc w:val="center"/>
      </w:pPr>
      <w:r>
        <w:rPr>
          <w:color w:val="666666"/>
          <w:sz w:val="18"/>
        </w:rPr>
        <w:t>Email: ✉️ nilaindahfebriyan@gmail.com  |  LinkedIn: https://www.linkedin.com/in/nila-indah-febriyanti-335151232</w:t>
      </w:r>
    </w:p>
    <w:p/>
    <w:p>
      <w:pPr>
        <w:spacing w:after="80" w:before="160"/>
        <w:pBdr>
          <w:bottom w:val="single" w:sz="4" w:space="1" w:color="1a2a4a"/>
        </w:pBdr>
      </w:pPr>
      <w:r>
        <w:rPr>
          <w:b/>
          <w:color w:val="1A2A4A"/>
          <w:sz w:val="24"/>
        </w:rPr>
        <w:t>PROFESSIONAL SUMMARY</w:t>
      </w:r>
    </w:p>
    <w:p>
      <w:pPr>
        <w:spacing w:after="40" w:before="0"/>
      </w:pPr>
      <w:r>
        <w:rPr>
          <w:b w:val="0"/>
          <w:color w:val="333333"/>
          <w:sz w:val="20"/>
        </w:rPr>
        <w:t>I hold a background in electronic engineering with a proven track record in technical writing, project management, and the design of structured learning units. My core focus lies in creating systematic learning frameworks and managing workflows to ensure that competency objectives are met with precision and efficiency. In my design process, I prioritize the creation of measurable learning units, ranging from defining clear objectives to evaluating their real-world impact. I actively integrate AI technology into every stage of the learning unit lifecycle, utilizing advanced prompting to develop content and designing adaptive learning paths that support personalized learning at scale. I am open to new opportunities where I can apply my skills in technical communication, learning system design, and workflow optimization to drive organizational operations forward.</w:t>
      </w:r>
    </w:p>
    <w:p>
      <w:pPr>
        <w:spacing w:after="80" w:before="160"/>
        <w:pBdr>
          <w:bottom w:val="single" w:sz="4" w:space="1" w:color="1a2a4a"/>
        </w:pBdr>
      </w:pPr>
      <w:r>
        <w:rPr>
          <w:b/>
          <w:color w:val="1A2A4A"/>
          <w:sz w:val="24"/>
        </w:rPr>
        <w:t>PROFESSIONAL EXPERIENCE</w:t>
      </w:r>
    </w:p>
    <w:p>
      <w:r>
        <w:rPr>
          <w:b/>
          <w:sz w:val="22"/>
        </w:rPr>
        <w:t>Learning Design Go To Market</w:t>
      </w:r>
    </w:p>
    <w:p>
      <w:pPr>
        <w:spacing w:after="40"/>
      </w:pPr>
      <w:r>
        <w:rPr>
          <w:i/>
          <w:color w:val="555555"/>
          <w:sz w:val="20"/>
        </w:rPr>
        <w:t>PT. Telekomunikasi Indonesia — May 2025 - Present</w:t>
      </w:r>
    </w:p>
    <w:p>
      <w:pPr>
        <w:pStyle w:val="ListBullet"/>
        <w:spacing w:after="20" w:before="0"/>
      </w:pPr>
      <w:r>
        <w:rPr>
          <w:rFonts w:ascii="Calibri" w:hAnsi="Calibri"/>
          <w:sz w:val="20"/>
        </w:rPr>
        <w:t>Applied Design Thinking to digital learning modules &amp; interactive simulations</w:t>
      </w:r>
    </w:p>
    <w:p>
      <w:pPr>
        <w:pStyle w:val="ListBullet"/>
        <w:spacing w:after="20" w:before="0"/>
      </w:pPr>
      <w:r>
        <w:rPr>
          <w:rFonts w:ascii="Calibri" w:hAnsi="Calibri"/>
          <w:sz w:val="20"/>
        </w:rPr>
        <w:t>Developed AI-based learning units: video learning, audio learning, articles, and interactive quizzes</w:t>
      </w:r>
    </w:p>
    <w:p>
      <w:pPr>
        <w:pStyle w:val="ListBullet"/>
        <w:spacing w:after="20" w:before="0"/>
      </w:pPr>
      <w:r>
        <w:rPr>
          <w:rFonts w:ascii="Calibri" w:hAnsi="Calibri"/>
          <w:sz w:val="20"/>
        </w:rPr>
        <w:t>Analyzed training data &amp; Learning Impact Measurement (LIM) for program effectiveness</w:t>
      </w:r>
    </w:p>
    <w:p>
      <w:pPr>
        <w:pStyle w:val="ListBullet"/>
        <w:spacing w:after="20" w:before="0"/>
      </w:pPr>
      <w:r>
        <w:rPr>
          <w:rFonts w:ascii="Calibri" w:hAnsi="Calibri"/>
          <w:sz w:val="20"/>
        </w:rPr>
        <w:t>Managed e-learning data integrity &amp; cross-unit collaboration dashboards</w:t>
      </w:r>
    </w:p>
    <w:p>
      <w:pPr>
        <w:pStyle w:val="ListBullet"/>
        <w:spacing w:after="20" w:before="0"/>
      </w:pPr>
      <w:r>
        <w:rPr>
          <w:rFonts w:ascii="Calibri" w:hAnsi="Calibri"/>
          <w:sz w:val="20"/>
        </w:rPr>
        <w:t>Organized training documentation &amp; stakeholder communications</w:t>
      </w:r>
    </w:p>
    <w:p>
      <w:pPr>
        <w:spacing w:after="40"/>
      </w:pPr>
    </w:p>
    <w:p>
      <w:r>
        <w:rPr>
          <w:b/>
          <w:sz w:val="22"/>
        </w:rPr>
        <w:t>Research Analyst</w:t>
      </w:r>
    </w:p>
    <w:p>
      <w:pPr>
        <w:spacing w:after="40"/>
      </w:pPr>
      <w:r>
        <w:rPr>
          <w:i/>
          <w:color w:val="555555"/>
          <w:sz w:val="20"/>
        </w:rPr>
        <w:t>PT. Telekomunikasi Indonesia — June 2023 - March 2025</w:t>
      </w:r>
    </w:p>
    <w:p>
      <w:pPr>
        <w:pStyle w:val="ListBullet"/>
        <w:spacing w:after="20" w:before="0"/>
      </w:pPr>
      <w:r>
        <w:rPr>
          <w:rFonts w:ascii="Calibri" w:hAnsi="Calibri"/>
          <w:sz w:val="20"/>
        </w:rPr>
        <w:t>Acquired &amp; synthesized data for program optimization</w:t>
      </w:r>
    </w:p>
    <w:p>
      <w:pPr>
        <w:pStyle w:val="ListBullet"/>
        <w:spacing w:after="20" w:before="0"/>
      </w:pPr>
      <w:r>
        <w:rPr>
          <w:rFonts w:ascii="Calibri" w:hAnsi="Calibri"/>
          <w:sz w:val="20"/>
        </w:rPr>
        <w:t>Led strategic project monitoring &amp; systematic management reporting</w:t>
      </w:r>
    </w:p>
    <w:p>
      <w:pPr>
        <w:pStyle w:val="ListBullet"/>
        <w:spacing w:after="20" w:before="0"/>
      </w:pPr>
      <w:r>
        <w:rPr>
          <w:rFonts w:ascii="Calibri" w:hAnsi="Calibri"/>
          <w:sz w:val="20"/>
        </w:rPr>
        <w:t>Facilitated stakeholder engagement (presentations, MoM, BAST)</w:t>
      </w:r>
    </w:p>
    <w:p>
      <w:pPr>
        <w:pStyle w:val="ListBullet"/>
        <w:spacing w:after="20" w:before="0"/>
      </w:pPr>
      <w:r>
        <w:rPr>
          <w:rFonts w:ascii="Calibri" w:hAnsi="Calibri"/>
          <w:sz w:val="20"/>
        </w:rPr>
        <w:t>Developed standardized SOPs &amp; technical guidelines</w:t>
      </w:r>
    </w:p>
    <w:p>
      <w:pPr>
        <w:spacing w:after="40"/>
      </w:pPr>
    </w:p>
    <w:p>
      <w:r>
        <w:rPr>
          <w:b/>
          <w:sz w:val="22"/>
        </w:rPr>
        <w:t>Administrative Officer</w:t>
      </w:r>
    </w:p>
    <w:p>
      <w:pPr>
        <w:spacing w:after="40"/>
      </w:pPr>
      <w:r>
        <w:rPr>
          <w:i/>
          <w:color w:val="555555"/>
          <w:sz w:val="20"/>
        </w:rPr>
        <w:t>Telkom University Purwokerto — Sep 2022 - Feb 2023</w:t>
      </w:r>
    </w:p>
    <w:p>
      <w:pPr>
        <w:pStyle w:val="ListBullet"/>
        <w:spacing w:after="20" w:before="0"/>
      </w:pPr>
      <w:r>
        <w:rPr>
          <w:rFonts w:ascii="Calibri" w:hAnsi="Calibri"/>
          <w:sz w:val="20"/>
        </w:rPr>
        <w:t>Led IDR 400 Million Kedaireka Matching Fund 2022 proposal</w:t>
      </w:r>
    </w:p>
    <w:p>
      <w:pPr>
        <w:pStyle w:val="ListBullet"/>
        <w:spacing w:after="20" w:before="0"/>
      </w:pPr>
      <w:r>
        <w:rPr>
          <w:rFonts w:ascii="Calibri" w:hAnsi="Calibri"/>
          <w:sz w:val="20"/>
        </w:rPr>
        <w:t>Orchestrated multi-phase community service programs</w:t>
      </w:r>
    </w:p>
    <w:p>
      <w:pPr>
        <w:pStyle w:val="ListBullet"/>
        <w:spacing w:after="20" w:before="0"/>
      </w:pPr>
      <w:r>
        <w:rPr>
          <w:rFonts w:ascii="Calibri" w:hAnsi="Calibri"/>
          <w:sz w:val="20"/>
        </w:rPr>
        <w:t>Published research papers from program outcomes</w:t>
      </w:r>
    </w:p>
    <w:p>
      <w:pPr>
        <w:spacing w:after="40"/>
      </w:pPr>
    </w:p>
    <w:p>
      <w:r>
        <w:rPr>
          <w:b/>
          <w:sz w:val="22"/>
        </w:rPr>
        <w:t>Administrative Project</w:t>
      </w:r>
    </w:p>
    <w:p>
      <w:pPr>
        <w:spacing w:after="40"/>
      </w:pPr>
      <w:r>
        <w:rPr>
          <w:i/>
          <w:color w:val="555555"/>
          <w:sz w:val="20"/>
        </w:rPr>
        <w:t>Egrotek Karsa Utama — Oct 2021 - Aug 2022</w:t>
      </w:r>
    </w:p>
    <w:p>
      <w:pPr>
        <w:pStyle w:val="ListBullet"/>
        <w:spacing w:after="20" w:before="0"/>
      </w:pPr>
      <w:r>
        <w:rPr>
          <w:rFonts w:ascii="Calibri" w:hAnsi="Calibri"/>
          <w:sz w:val="20"/>
        </w:rPr>
        <w:t>Led program administration &amp; financial reporting oversight</w:t>
      </w:r>
    </w:p>
    <w:p>
      <w:pPr>
        <w:pStyle w:val="ListBullet"/>
        <w:spacing w:after="20" w:before="0"/>
      </w:pPr>
      <w:r>
        <w:rPr>
          <w:rFonts w:ascii="Calibri" w:hAnsi="Calibri"/>
          <w:sz w:val="20"/>
        </w:rPr>
        <w:t>Orchestrated timelines, procurement, invoicing &amp; BAST</w:t>
      </w:r>
    </w:p>
    <w:p>
      <w:pPr>
        <w:pStyle w:val="ListBullet"/>
        <w:spacing w:after="20" w:before="0"/>
      </w:pPr>
      <w:r>
        <w:rPr>
          <w:rFonts w:ascii="Calibri" w:hAnsi="Calibri"/>
          <w:sz w:val="20"/>
        </w:rPr>
        <w:t>Quality control &amp; hardware marketplace management</w:t>
      </w:r>
    </w:p>
    <w:p>
      <w:pPr>
        <w:pStyle w:val="ListBullet"/>
        <w:spacing w:after="20" w:before="0"/>
      </w:pPr>
      <w:r>
        <w:rPr>
          <w:rFonts w:ascii="Calibri" w:hAnsi="Calibri"/>
          <w:sz w:val="20"/>
        </w:rPr>
        <w:t>Authored &amp; published academic papers</w:t>
      </w:r>
    </w:p>
    <w:p>
      <w:pPr>
        <w:spacing w:after="40"/>
      </w:pPr>
    </w:p>
    <w:p>
      <w:pPr>
        <w:spacing w:after="80" w:before="160"/>
        <w:pBdr>
          <w:bottom w:val="single" w:sz="4" w:space="1" w:color="1a2a4a"/>
        </w:pBdr>
      </w:pPr>
      <w:r>
        <w:rPr>
          <w:b/>
          <w:color w:val="1A2A4A"/>
          <w:sz w:val="24"/>
        </w:rPr>
        <w:t>EDUCATION</w:t>
      </w:r>
    </w:p>
    <w:p>
      <w:r>
        <w:rPr>
          <w:b/>
          <w:sz w:val="22"/>
        </w:rPr>
        <w:t>Politeknik Negeri Cilacap</w:t>
      </w:r>
    </w:p>
    <w:p>
      <w:pPr>
        <w:spacing w:after="40" w:before="0"/>
      </w:pPr>
      <w:r>
        <w:rPr>
          <w:b w:val="0"/>
          <w:color w:val="333333"/>
          <w:sz w:val="20"/>
        </w:rPr>
        <w:t>Diploma of Electronics Engineering | GPA 3.54/4.00 | 2018 - 2021</w:t>
      </w:r>
    </w:p>
    <w:p>
      <w:pPr>
        <w:spacing w:after="40" w:before="0"/>
      </w:pPr>
      <w:r>
        <w:rPr>
          <w:b w:val="0"/>
          <w:color w:val="666666"/>
          <w:sz w:val="18"/>
        </w:rPr>
        <w:t>Thesis: Information System for Measuring Patient Condition at Clinic using Web Display</w:t>
      </w:r>
    </w:p>
    <w:p>
      <w:pPr>
        <w:spacing w:after="80" w:before="160"/>
        <w:pBdr>
          <w:bottom w:val="single" w:sz="4" w:space="1" w:color="1a2a4a"/>
        </w:pBdr>
      </w:pPr>
      <w:r>
        <w:rPr>
          <w:b/>
          <w:color w:val="1A2A4A"/>
          <w:sz w:val="24"/>
        </w:rPr>
        <w:t>CORE COMPETENCIES</w:t>
      </w:r>
    </w:p>
    <w:p>
      <w:pPr>
        <w:spacing w:after="40" w:before="0"/>
      </w:pPr>
      <w:r>
        <w:rPr>
          <w:b w:val="0"/>
          <w:color w:val="333333"/>
          <w:sz w:val="20"/>
        </w:rPr>
        <w:t>Learning Design | AI in Learning Units | Technical Communication | Project Management</w:t>
      </w:r>
    </w:p>
    <w:p>
      <w:pPr>
        <w:spacing w:after="80" w:before="160"/>
        <w:pBdr>
          <w:bottom w:val="single" w:sz="4" w:space="1" w:color="1a2a4a"/>
        </w:pBdr>
      </w:pPr>
      <w:r>
        <w:rPr>
          <w:b/>
          <w:color w:val="1A2A4A"/>
          <w:sz w:val="24"/>
        </w:rPr>
        <w:t>AREA OF EXPERTISE</w:t>
      </w:r>
    </w:p>
    <w:p>
      <w:pPr>
        <w:spacing w:after="40" w:before="0"/>
      </w:pPr>
      <w:r>
        <w:rPr>
          <w:b w:val="0"/>
          <w:color w:val="333333"/>
          <w:sz w:val="20"/>
        </w:rPr>
        <w:t>Communication, Public Speaking, Problem Solving, Research Analysis, Design Thinking, Presentation Skill</w:t>
      </w:r>
    </w:p>
    <w:p>
      <w:pPr>
        <w:spacing w:after="80" w:before="160"/>
        <w:pBdr>
          <w:bottom w:val="single" w:sz="4" w:space="1" w:color="1a2a4a"/>
        </w:pBdr>
      </w:pPr>
      <w:r>
        <w:rPr>
          <w:b/>
          <w:color w:val="1A2A4A"/>
          <w:sz w:val="24"/>
        </w:rPr>
        <w:t>KEY ACHIEVEMENTS</w:t>
      </w:r>
    </w:p>
    <w:p>
      <w:pPr>
        <w:spacing w:after="80"/>
      </w:pPr>
      <w:r>
        <w:rPr>
          <w:b/>
          <w:sz w:val="20"/>
        </w:rPr>
        <w:t xml:space="preserve">IDR 400M Matching Fund Kedaireka Grant: </w:t>
      </w:r>
      <w:r>
        <w:rPr>
          <w:sz w:val="20"/>
        </w:rPr>
        <w:t>Successfully led the acquisition of a national grant from the Ministry of Education, aligning academic expertise with industrial innovation needs.</w:t>
      </w:r>
    </w:p>
    <w:p>
      <w:pPr>
        <w:spacing w:after="80"/>
      </w:pPr>
      <w:r>
        <w:rPr>
          <w:b/>
          <w:sz w:val="20"/>
        </w:rPr>
        <w:t xml:space="preserve">IDR 187M Electricity Cost Optimization: </w:t>
      </w:r>
      <w:r>
        <w:rPr>
          <w:sz w:val="20"/>
        </w:rPr>
        <w:t>Achieved IDR 187M electricity cost reduction within 6 months through Smart Building operational management.</w:t>
      </w:r>
    </w:p>
    <w:p>
      <w:pPr>
        <w:spacing w:after="80" w:before="160"/>
        <w:pBdr>
          <w:bottom w:val="single" w:sz="4" w:space="1" w:color="1a2a4a"/>
        </w:pBdr>
      </w:pPr>
      <w:r>
        <w:rPr>
          <w:b/>
          <w:color w:val="1A2A4A"/>
          <w:sz w:val="24"/>
        </w:rPr>
        <w:t>PUBLICATIONS</w:t>
      </w:r>
    </w:p>
    <w:p>
      <w:r>
        <w:rPr>
          <w:i/>
          <w:sz w:val="20"/>
        </w:rPr>
        <w:t>Implementation of Ultrasonic Sensor Using LoRaWAN Protocol for Monitoring Water Level in Aquaponic Pond</w:t>
      </w:r>
    </w:p>
    <w:p>
      <w:pPr>
        <w:spacing w:after="40" w:before="0"/>
      </w:pPr>
      <w:r>
        <w:rPr>
          <w:b w:val="0"/>
          <w:color w:val="666666"/>
          <w:sz w:val="18"/>
        </w:rPr>
        <w:t>International Conference (2024)</w:t>
      </w:r>
    </w:p>
    <w:p>
      <w:pPr>
        <w:spacing w:after="40" w:before="0"/>
      </w:pPr>
      <w:r>
        <w:rPr>
          <w:b w:val="0"/>
          <w:color w:val="888888"/>
          <w:sz w:val="16"/>
        </w:rPr>
        <w:t>DOI: 10.1109/ICWT62080.2024.10674669</w:t>
      </w:r>
    </w:p>
    <w:p>
      <w:r>
        <w:rPr>
          <w:i/>
          <w:sz w:val="20"/>
        </w:rPr>
        <w:t>The Implementation of MQTT Protocol using PT-100 for Monitoring the Vaccine Temperature</w:t>
      </w:r>
    </w:p>
    <w:p>
      <w:pPr>
        <w:spacing w:after="40" w:before="0"/>
      </w:pPr>
      <w:r>
        <w:rPr>
          <w:b w:val="0"/>
          <w:color w:val="666666"/>
          <w:sz w:val="18"/>
        </w:rPr>
        <w:t>Jurnal RESTI (2022)</w:t>
      </w:r>
    </w:p>
    <w:p>
      <w:pPr>
        <w:spacing w:after="40" w:before="0"/>
      </w:pPr>
      <w:r>
        <w:rPr>
          <w:b w:val="0"/>
          <w:color w:val="888888"/>
          <w:sz w:val="16"/>
        </w:rPr>
        <w:t>DOI: 10.29207/resti.v6i2.3988</w:t>
      </w:r>
    </w:p>
    <w:p>
      <w:r>
        <w:rPr>
          <w:i/>
          <w:sz w:val="20"/>
        </w:rPr>
        <w:t>Implementasi Moving Average Filter untuk Sensor Tegangan pada Sistem Kontrol dan Monitoring Lampu Jalan</w:t>
      </w:r>
    </w:p>
    <w:p>
      <w:pPr>
        <w:spacing w:after="40" w:before="0"/>
      </w:pPr>
      <w:r>
        <w:rPr>
          <w:b w:val="0"/>
          <w:color w:val="666666"/>
          <w:sz w:val="18"/>
        </w:rPr>
        <w:t>Jurnal Dinamika Rekayasa (2023)</w:t>
      </w:r>
    </w:p>
    <w:p>
      <w:pPr>
        <w:spacing w:after="40" w:before="0"/>
      </w:pPr>
      <w:r>
        <w:rPr>
          <w:b w:val="0"/>
          <w:color w:val="888888"/>
          <w:sz w:val="16"/>
        </w:rPr>
        <w:t>DOI: 10.20884/1.dr.2023.19.1.536</w:t>
      </w:r>
    </w:p>
    <w:p>
      <w:pPr>
        <w:spacing w:after="80" w:before="160"/>
        <w:pBdr>
          <w:bottom w:val="single" w:sz="4" w:space="1" w:color="1a2a4a"/>
        </w:pBdr>
      </w:pPr>
      <w:r>
        <w:rPr>
          <w:b/>
          <w:color w:val="1A2A4A"/>
          <w:sz w:val="24"/>
        </w:rPr>
        <w:t>LANGUAGES</w:t>
      </w:r>
    </w:p>
    <w:p>
      <w:pPr>
        <w:spacing w:after="40" w:before="0"/>
      </w:pPr>
      <w:r>
        <w:rPr>
          <w:b w:val="0"/>
          <w:color w:val="333333"/>
          <w:sz w:val="20"/>
        </w:rPr>
        <w:t>🇮🇩 Indonesian | 🇬🇧 English</w:t>
      </w:r>
    </w:p>
    <w:p>
      <w:pPr>
        <w:spacing w:after="80" w:before="160"/>
        <w:pBdr>
          <w:bottom w:val="single" w:sz="4" w:space="1" w:color="1a2a4a"/>
        </w:pBdr>
      </w:pPr>
      <w:r>
        <w:rPr>
          <w:b/>
          <w:color w:val="1A2A4A"/>
          <w:sz w:val="24"/>
        </w:rPr>
        <w:t>CERTIFICATIONS</w:t>
      </w:r>
    </w:p>
    <w:p>
      <w:pPr>
        <w:spacing w:after="40" w:before="0"/>
      </w:pPr>
      <w:r>
        <w:rPr>
          <w:b w:val="0"/>
          <w:color w:val="333333"/>
          <w:sz w:val="20"/>
        </w:rPr>
        <w:t>PLC Installation Based on Industrial Automation System (BNSP)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